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BA" w:rsidRPr="002B5025" w:rsidRDefault="009145BA" w:rsidP="009145BA">
      <w:pPr>
        <w:pStyle w:val="paragraph"/>
        <w:spacing w:before="0" w:beforeAutospacing="0" w:after="0" w:afterAutospacing="0"/>
        <w:jc w:val="center"/>
        <w:textAlignment w:val="baseline"/>
        <w:rPr>
          <w:rStyle w:val="eop"/>
          <w:rFonts w:ascii="Verdana" w:hAnsi="Verdana" w:cstheme="minorBidi"/>
          <w:b/>
          <w:bCs/>
          <w:color w:val="000000"/>
          <w:sz w:val="20"/>
          <w:szCs w:val="20"/>
        </w:rPr>
      </w:pPr>
      <w:r w:rsidRPr="002B5025">
        <w:rPr>
          <w:rFonts w:ascii="Verdana" w:hAnsi="Verdana"/>
          <w:noProof/>
          <w:sz w:val="20"/>
          <w:szCs w:val="20"/>
        </w:rPr>
        <w:drawing>
          <wp:inline distT="0" distB="0" distL="0" distR="0" wp14:anchorId="055E6D8E" wp14:editId="129D9A6F">
            <wp:extent cx="1246615" cy="72000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46615" cy="720000"/>
                    </a:xfrm>
                    <a:prstGeom prst="rect">
                      <a:avLst/>
                    </a:prstGeom>
                    <a:noFill/>
                    <a:ln>
                      <a:noFill/>
                    </a:ln>
                  </pic:spPr>
                </pic:pic>
              </a:graphicData>
            </a:graphic>
          </wp:inline>
        </w:drawing>
      </w:r>
    </w:p>
    <w:p w:rsidR="009145BA" w:rsidRPr="002B5025" w:rsidRDefault="009145BA" w:rsidP="009145BA">
      <w:pPr>
        <w:pStyle w:val="paragraph"/>
        <w:spacing w:before="0" w:beforeAutospacing="0" w:after="0" w:afterAutospacing="0"/>
        <w:jc w:val="center"/>
        <w:textAlignment w:val="baseline"/>
        <w:rPr>
          <w:rStyle w:val="eop"/>
          <w:rFonts w:ascii="Verdana" w:hAnsi="Verdana" w:cstheme="minorBidi"/>
          <w:b/>
          <w:bCs/>
          <w:color w:val="000000"/>
          <w:sz w:val="20"/>
          <w:szCs w:val="20"/>
        </w:rPr>
      </w:pPr>
    </w:p>
    <w:p w:rsidR="009145BA" w:rsidRPr="002B5025" w:rsidRDefault="009145BA" w:rsidP="009145BA">
      <w:pPr>
        <w:pStyle w:val="paragraph"/>
        <w:spacing w:before="0" w:beforeAutospacing="0" w:after="0" w:afterAutospacing="0"/>
        <w:jc w:val="center"/>
        <w:textAlignment w:val="baseline"/>
        <w:rPr>
          <w:rStyle w:val="eop"/>
          <w:rFonts w:ascii="Verdana" w:hAnsi="Verdana" w:cstheme="minorBidi"/>
          <w:b/>
          <w:bCs/>
          <w:color w:val="000000"/>
          <w:sz w:val="28"/>
          <w:szCs w:val="28"/>
        </w:rPr>
      </w:pPr>
    </w:p>
    <w:p w:rsidR="009145BA" w:rsidRPr="002B5025" w:rsidRDefault="009145BA" w:rsidP="009145BA">
      <w:pPr>
        <w:pStyle w:val="paragraph"/>
        <w:spacing w:before="0" w:beforeAutospacing="0" w:after="0" w:afterAutospacing="0"/>
        <w:jc w:val="center"/>
        <w:textAlignment w:val="baseline"/>
        <w:rPr>
          <w:rStyle w:val="eop"/>
          <w:rFonts w:ascii="Verdana" w:hAnsi="Verdana" w:cstheme="minorBidi"/>
          <w:b/>
          <w:bCs/>
          <w:color w:val="000000"/>
          <w:sz w:val="28"/>
          <w:szCs w:val="28"/>
        </w:rPr>
      </w:pPr>
      <w:r w:rsidRPr="002B5025">
        <w:rPr>
          <w:rStyle w:val="eop"/>
          <w:rFonts w:ascii="Verdana" w:hAnsi="Verdana" w:cstheme="minorBidi"/>
          <w:b/>
          <w:color w:val="000000"/>
          <w:sz w:val="28"/>
          <w:szCs w:val="28"/>
        </w:rPr>
        <w:t>RAK Ceramics publishes its Environmental, Social and Governance report</w:t>
      </w:r>
      <w:r w:rsidRPr="002B5025">
        <w:rPr>
          <w:rStyle w:val="eop"/>
          <w:rFonts w:ascii="Verdana" w:hAnsi="Verdana" w:cstheme="minorBidi"/>
          <w:b/>
          <w:bCs/>
          <w:color w:val="000000"/>
          <w:sz w:val="28"/>
          <w:szCs w:val="28"/>
        </w:rPr>
        <w:t xml:space="preserve"> for 2024</w:t>
      </w:r>
    </w:p>
    <w:p w:rsidR="009145BA" w:rsidRPr="002B5025" w:rsidRDefault="009145BA" w:rsidP="009145BA">
      <w:pPr>
        <w:jc w:val="both"/>
        <w:rPr>
          <w:rStyle w:val="Strong"/>
          <w:rFonts w:ascii="Verdana" w:hAnsi="Verdana"/>
          <w:color w:val="252525"/>
          <w:sz w:val="20"/>
          <w:szCs w:val="20"/>
        </w:rPr>
      </w:pPr>
    </w:p>
    <w:p w:rsidR="009145BA" w:rsidRPr="002B5025" w:rsidRDefault="009145BA" w:rsidP="009145BA">
      <w:pPr>
        <w:jc w:val="both"/>
        <w:rPr>
          <w:rStyle w:val="Strong"/>
          <w:rFonts w:ascii="Verdana" w:hAnsi="Verdana"/>
          <w:b w:val="0"/>
          <w:bCs w:val="0"/>
          <w:color w:val="252525"/>
          <w:sz w:val="20"/>
          <w:szCs w:val="20"/>
        </w:rPr>
      </w:pPr>
      <w:proofErr w:type="spellStart"/>
      <w:r w:rsidRPr="002B5025">
        <w:rPr>
          <w:rStyle w:val="Strong"/>
          <w:rFonts w:ascii="Verdana" w:hAnsi="Verdana"/>
          <w:color w:val="252525"/>
          <w:sz w:val="20"/>
          <w:szCs w:val="20"/>
        </w:rPr>
        <w:t>Ras</w:t>
      </w:r>
      <w:proofErr w:type="spellEnd"/>
      <w:r w:rsidRPr="002B5025">
        <w:rPr>
          <w:rStyle w:val="Strong"/>
          <w:rFonts w:ascii="Verdana" w:hAnsi="Verdana"/>
          <w:color w:val="252525"/>
          <w:sz w:val="20"/>
          <w:szCs w:val="20"/>
        </w:rPr>
        <w:t xml:space="preserve"> Al </w:t>
      </w:r>
      <w:proofErr w:type="spellStart"/>
      <w:r w:rsidRPr="002B5025">
        <w:rPr>
          <w:rStyle w:val="Strong"/>
          <w:rFonts w:ascii="Verdana" w:hAnsi="Verdana"/>
          <w:color w:val="252525"/>
          <w:sz w:val="20"/>
          <w:szCs w:val="20"/>
        </w:rPr>
        <w:t>Khaimah</w:t>
      </w:r>
      <w:proofErr w:type="spellEnd"/>
      <w:r w:rsidRPr="002B5025">
        <w:rPr>
          <w:rStyle w:val="Strong"/>
          <w:rFonts w:ascii="Verdana" w:hAnsi="Verdana"/>
          <w:color w:val="252525"/>
          <w:sz w:val="20"/>
          <w:szCs w:val="20"/>
        </w:rPr>
        <w:t>,</w:t>
      </w:r>
      <w:r w:rsidR="00DB71D0">
        <w:rPr>
          <w:rStyle w:val="Strong"/>
          <w:rFonts w:ascii="Verdana" w:hAnsi="Verdana"/>
          <w:color w:val="252525"/>
          <w:sz w:val="20"/>
          <w:szCs w:val="20"/>
        </w:rPr>
        <w:t xml:space="preserve"> United Arab Emirates, March, 2024</w:t>
      </w:r>
      <w:r w:rsidRPr="002B5025">
        <w:rPr>
          <w:rStyle w:val="Strong"/>
          <w:rFonts w:ascii="Verdana" w:hAnsi="Verdana"/>
          <w:color w:val="252525"/>
          <w:sz w:val="20"/>
          <w:szCs w:val="20"/>
        </w:rPr>
        <w:t xml:space="preserve">: </w:t>
      </w:r>
      <w:r w:rsidRPr="002B5025">
        <w:rPr>
          <w:rStyle w:val="Strong"/>
          <w:rFonts w:ascii="Verdana" w:hAnsi="Verdana"/>
          <w:b w:val="0"/>
          <w:color w:val="252525"/>
          <w:sz w:val="20"/>
          <w:szCs w:val="20"/>
        </w:rPr>
        <w:t xml:space="preserve">RAK Ceramics published its </w:t>
      </w:r>
      <w:bookmarkStart w:id="0" w:name="_GoBack"/>
      <w:bookmarkEnd w:id="0"/>
      <w:r w:rsidRPr="002B5025">
        <w:rPr>
          <w:rStyle w:val="Strong"/>
          <w:rFonts w:ascii="Verdana" w:hAnsi="Verdana"/>
          <w:b w:val="0"/>
          <w:color w:val="252525"/>
          <w:sz w:val="20"/>
          <w:szCs w:val="20"/>
        </w:rPr>
        <w:t xml:space="preserve">Environmental, Social and Governance (ESG) report </w:t>
      </w:r>
      <w:r w:rsidRPr="002B5025">
        <w:rPr>
          <w:rStyle w:val="Strong"/>
          <w:rFonts w:ascii="Verdana" w:hAnsi="Verdana"/>
          <w:b w:val="0"/>
          <w:bCs w:val="0"/>
          <w:color w:val="252525"/>
          <w:sz w:val="20"/>
          <w:szCs w:val="20"/>
        </w:rPr>
        <w:t>for the year 2024</w:t>
      </w:r>
      <w:r w:rsidRPr="002B5025">
        <w:rPr>
          <w:rStyle w:val="Strong"/>
          <w:rFonts w:ascii="Verdana" w:hAnsi="Verdana"/>
          <w:b w:val="0"/>
          <w:color w:val="252525"/>
          <w:sz w:val="20"/>
          <w:szCs w:val="20"/>
        </w:rPr>
        <w:t xml:space="preserve">, documenting the company’s achievements in the realm of sustainability and social responsibility. This comprehensive report presents the outcomes of the set objectives for the year and outlines the aspirations and goals for the future. </w:t>
      </w:r>
    </w:p>
    <w:p w:rsidR="001238BA" w:rsidRPr="002B5025" w:rsidRDefault="009145BA" w:rsidP="001238BA">
      <w:pPr>
        <w:pStyle w:val="NormalWeb"/>
        <w:rPr>
          <w:rFonts w:ascii="Verdana" w:hAnsi="Verdana"/>
          <w:b/>
          <w:sz w:val="20"/>
          <w:szCs w:val="20"/>
        </w:rPr>
      </w:pPr>
      <w:r w:rsidRPr="002B5025">
        <w:rPr>
          <w:rFonts w:ascii="Verdana" w:hAnsi="Verdana"/>
          <w:sz w:val="20"/>
          <w:szCs w:val="20"/>
        </w:rPr>
        <w:t xml:space="preserve">RAK Ceramics operates through four core segments: Tiles, </w:t>
      </w:r>
      <w:proofErr w:type="spellStart"/>
      <w:r w:rsidRPr="002B5025">
        <w:rPr>
          <w:rFonts w:ascii="Verdana" w:hAnsi="Verdana"/>
          <w:sz w:val="20"/>
          <w:szCs w:val="20"/>
        </w:rPr>
        <w:t>Sanitaryware</w:t>
      </w:r>
      <w:proofErr w:type="spellEnd"/>
      <w:r w:rsidRPr="002B5025">
        <w:rPr>
          <w:rFonts w:ascii="Verdana" w:hAnsi="Verdana"/>
          <w:sz w:val="20"/>
          <w:szCs w:val="20"/>
        </w:rPr>
        <w:t xml:space="preserve">, Faucets, and Tableware. Each department takes ownership of sustainability within its domain and implements focused initiatives. </w:t>
      </w:r>
      <w:r w:rsidR="001238BA" w:rsidRPr="002B5025">
        <w:rPr>
          <w:rFonts w:ascii="Verdana" w:hAnsi="Verdana"/>
          <w:sz w:val="20"/>
          <w:szCs w:val="20"/>
        </w:rPr>
        <w:t xml:space="preserve">Sustainability remains at the core of </w:t>
      </w:r>
      <w:r w:rsidRPr="002B5025">
        <w:rPr>
          <w:rFonts w:ascii="Verdana" w:hAnsi="Verdana"/>
          <w:sz w:val="20"/>
          <w:szCs w:val="20"/>
        </w:rPr>
        <w:t xml:space="preserve">RAK Ceramic’s </w:t>
      </w:r>
      <w:r w:rsidR="001238BA" w:rsidRPr="002B5025">
        <w:rPr>
          <w:rFonts w:ascii="Verdana" w:hAnsi="Verdana"/>
          <w:sz w:val="20"/>
          <w:szCs w:val="20"/>
        </w:rPr>
        <w:t>oper</w:t>
      </w:r>
      <w:r w:rsidRPr="002B5025">
        <w:rPr>
          <w:rFonts w:ascii="Verdana" w:hAnsi="Verdana"/>
          <w:sz w:val="20"/>
          <w:szCs w:val="20"/>
        </w:rPr>
        <w:t xml:space="preserve">ations, shaping </w:t>
      </w:r>
      <w:r w:rsidR="001238BA" w:rsidRPr="002B5025">
        <w:rPr>
          <w:rFonts w:ascii="Verdana" w:hAnsi="Verdana"/>
          <w:sz w:val="20"/>
          <w:szCs w:val="20"/>
        </w:rPr>
        <w:t>strategic initiatives and long-term vision. The 2024 ESG Report provides an in-depth account of our sustainability efforts from January 1 to December 31, 2024, with a primary focus on the United Arab Emirates (UAE) operations while also highlighting key global contributions.</w:t>
      </w:r>
    </w:p>
    <w:p w:rsidR="009145BA" w:rsidRPr="002B5025" w:rsidRDefault="001238BA" w:rsidP="001238BA">
      <w:pPr>
        <w:pStyle w:val="NormalWeb"/>
        <w:rPr>
          <w:rFonts w:ascii="Verdana" w:hAnsi="Verdana"/>
          <w:sz w:val="20"/>
          <w:szCs w:val="20"/>
        </w:rPr>
      </w:pPr>
      <w:r w:rsidRPr="002B5025">
        <w:rPr>
          <w:rFonts w:ascii="Verdana" w:hAnsi="Verdana"/>
          <w:sz w:val="20"/>
          <w:szCs w:val="20"/>
        </w:rPr>
        <w:t xml:space="preserve">RAK Ceramics remains steadfast in supporting the United Nations Sustainable Development Goals (UN SDGs) and key UAE national strategies, including UAE Net Zero by 2050, the UAE Climate Change Plan 2017–2050, and the UAE Energy Strategy 2050. </w:t>
      </w:r>
    </w:p>
    <w:p w:rsidR="001238BA" w:rsidRPr="002B5025" w:rsidRDefault="001238BA" w:rsidP="001238BA">
      <w:pPr>
        <w:pStyle w:val="NormalWeb"/>
        <w:rPr>
          <w:rFonts w:ascii="Verdana" w:hAnsi="Verdana"/>
          <w:sz w:val="20"/>
          <w:szCs w:val="20"/>
        </w:rPr>
      </w:pPr>
      <w:r w:rsidRPr="002B5025">
        <w:rPr>
          <w:rFonts w:ascii="Verdana" w:hAnsi="Verdana"/>
          <w:sz w:val="20"/>
          <w:szCs w:val="20"/>
        </w:rPr>
        <w:t xml:space="preserve">In 2024, RAK Ceramics built upon the sustainability achievements of previous years, focusing on energy efficiency, conservation of natural resources, and the implementation of eco-friendly solutions throughout its value chain. The company celebrated a key milestone by obtaining ISO 50001 certification for energy management across its Tiles, </w:t>
      </w:r>
      <w:proofErr w:type="spellStart"/>
      <w:r w:rsidRPr="002B5025">
        <w:rPr>
          <w:rFonts w:ascii="Verdana" w:hAnsi="Verdana"/>
          <w:sz w:val="20"/>
          <w:szCs w:val="20"/>
        </w:rPr>
        <w:t>Sanitaryware</w:t>
      </w:r>
      <w:proofErr w:type="spellEnd"/>
      <w:r w:rsidRPr="002B5025">
        <w:rPr>
          <w:rFonts w:ascii="Verdana" w:hAnsi="Verdana"/>
          <w:sz w:val="20"/>
          <w:szCs w:val="20"/>
        </w:rPr>
        <w:t>, and Tableware divisions. Additionally, strategic investments were made in manufacturing facilities, incorporating advance</w:t>
      </w:r>
      <w:r w:rsidR="006F3F34" w:rsidRPr="002B5025">
        <w:rPr>
          <w:rFonts w:ascii="Verdana" w:hAnsi="Verdana"/>
          <w:sz w:val="20"/>
          <w:szCs w:val="20"/>
        </w:rPr>
        <w:t>d technologies</w:t>
      </w:r>
      <w:r w:rsidR="009145BA" w:rsidRPr="002B5025">
        <w:rPr>
          <w:rFonts w:ascii="Verdana" w:hAnsi="Verdana"/>
          <w:sz w:val="20"/>
          <w:szCs w:val="20"/>
        </w:rPr>
        <w:t xml:space="preserve"> to enhance</w:t>
      </w:r>
      <w:r w:rsidRPr="002B5025">
        <w:rPr>
          <w:rFonts w:ascii="Verdana" w:hAnsi="Verdana"/>
          <w:sz w:val="20"/>
          <w:szCs w:val="20"/>
        </w:rPr>
        <w:t xml:space="preserve"> operational </w:t>
      </w:r>
      <w:r w:rsidR="006F3F34" w:rsidRPr="002B5025">
        <w:rPr>
          <w:rFonts w:ascii="Verdana" w:hAnsi="Verdana"/>
          <w:sz w:val="20"/>
          <w:szCs w:val="20"/>
        </w:rPr>
        <w:t xml:space="preserve">and energy efficiency </w:t>
      </w:r>
      <w:r w:rsidRPr="002B5025">
        <w:rPr>
          <w:rFonts w:ascii="Verdana" w:hAnsi="Verdana"/>
          <w:sz w:val="20"/>
          <w:szCs w:val="20"/>
        </w:rPr>
        <w:t>while minimizing its environmental footprint.</w:t>
      </w:r>
    </w:p>
    <w:p w:rsidR="001238BA" w:rsidRPr="002B5025" w:rsidRDefault="001238BA" w:rsidP="001238BA">
      <w:pPr>
        <w:pStyle w:val="NormalWeb"/>
        <w:rPr>
          <w:rFonts w:ascii="Verdana" w:hAnsi="Verdana"/>
          <w:sz w:val="20"/>
          <w:szCs w:val="20"/>
        </w:rPr>
      </w:pPr>
      <w:r w:rsidRPr="002B5025">
        <w:rPr>
          <w:rFonts w:ascii="Verdana" w:hAnsi="Verdana"/>
          <w:sz w:val="20"/>
          <w:szCs w:val="20"/>
        </w:rPr>
        <w:t>The company also made remarkable progress in waste management and circular economy initiatives. In 2024, RAK Ceramics achieved a 95-98% efficiency rate in its Effluent Treatment Plant and set ambitious targets for 2025, including the integration of an Aeration System in its Sewage Treatment Plant to further optimize treatment efficiency, reduce power consumption, and lower carbon emissions. A total of 206,025 tons of waste was reused to formulate 100% of its recycled products, reinforcing its commitment to a sustainable production model.</w:t>
      </w:r>
    </w:p>
    <w:p w:rsidR="0081251F" w:rsidRPr="002B5025" w:rsidRDefault="0081251F" w:rsidP="0081251F">
      <w:pPr>
        <w:jc w:val="both"/>
        <w:rPr>
          <w:rFonts w:ascii="Verdana" w:hAnsi="Verdana"/>
          <w:i/>
          <w:iCs/>
          <w:sz w:val="20"/>
          <w:szCs w:val="20"/>
        </w:rPr>
      </w:pPr>
      <w:r w:rsidRPr="002B5025">
        <w:rPr>
          <w:rFonts w:ascii="Verdana" w:hAnsi="Verdana"/>
          <w:b/>
          <w:bCs/>
          <w:sz w:val="20"/>
          <w:szCs w:val="20"/>
        </w:rPr>
        <w:t>Commenting on the success of ESG objectives in 2024, Abdallah Massaad, Group CEO of RAK Ceramics said</w:t>
      </w:r>
      <w:r w:rsidRPr="002B5025">
        <w:rPr>
          <w:rFonts w:ascii="Verdana" w:hAnsi="Verdana"/>
          <w:sz w:val="20"/>
          <w:szCs w:val="20"/>
        </w:rPr>
        <w:t>, “</w:t>
      </w:r>
      <w:r w:rsidRPr="002B5025">
        <w:rPr>
          <w:rFonts w:ascii="Verdana" w:hAnsi="Verdana"/>
          <w:i/>
          <w:iCs/>
          <w:sz w:val="20"/>
          <w:szCs w:val="20"/>
        </w:rPr>
        <w:t xml:space="preserve">During 2024, we achieved many significant sustainability goals, including increased energy efficiency, conserving natural resources, and implementing eco-friendly solutions across our entire value chain, while ensuring that our employees work in safe environments that foster diversity and inclusion. Our governance framework is designed </w:t>
      </w:r>
      <w:r w:rsidRPr="002B5025">
        <w:rPr>
          <w:rFonts w:ascii="Verdana" w:hAnsi="Verdana"/>
          <w:i/>
          <w:iCs/>
          <w:sz w:val="20"/>
          <w:szCs w:val="20"/>
        </w:rPr>
        <w:lastRenderedPageBreak/>
        <w:t xml:space="preserve">to ensure we operate ethically and transparently, while maintaining a culture of accountability and responsibility that aligns with our long-term strategy and vision. </w:t>
      </w:r>
    </w:p>
    <w:p w:rsidR="0081251F" w:rsidRPr="002B5025" w:rsidRDefault="002B5025" w:rsidP="0081251F">
      <w:pPr>
        <w:jc w:val="both"/>
        <w:rPr>
          <w:rFonts w:ascii="Verdana" w:hAnsi="Verdana"/>
          <w:sz w:val="20"/>
          <w:szCs w:val="20"/>
        </w:rPr>
      </w:pPr>
      <w:r>
        <w:rPr>
          <w:rFonts w:ascii="Verdana" w:hAnsi="Verdana"/>
          <w:i/>
          <w:iCs/>
          <w:sz w:val="20"/>
          <w:szCs w:val="20"/>
        </w:rPr>
        <w:t>O</w:t>
      </w:r>
      <w:r w:rsidR="0081251F" w:rsidRPr="002B5025">
        <w:rPr>
          <w:rFonts w:ascii="Verdana" w:hAnsi="Verdana"/>
          <w:i/>
          <w:iCs/>
          <w:sz w:val="20"/>
          <w:szCs w:val="20"/>
        </w:rPr>
        <w:t>ur sustainability targets are set in light of the long-term strategic priorities of the Group, to be achieved by managing the environmental impact of the activities. We are more committed than ever in our efforts to become a regenerative company, one that puts humanity and nature at the center of our business practices.</w:t>
      </w:r>
      <w:r w:rsidR="0081251F" w:rsidRPr="002B5025">
        <w:rPr>
          <w:rFonts w:ascii="Verdana" w:hAnsi="Verdana"/>
          <w:sz w:val="20"/>
          <w:szCs w:val="20"/>
        </w:rPr>
        <w:t>”</w:t>
      </w:r>
    </w:p>
    <w:p w:rsidR="0081251F" w:rsidRPr="002B5025" w:rsidRDefault="0081251F" w:rsidP="0081251F">
      <w:pPr>
        <w:pStyle w:val="NormalWeb"/>
        <w:rPr>
          <w:rFonts w:ascii="Verdana" w:hAnsi="Verdana"/>
          <w:sz w:val="20"/>
          <w:szCs w:val="20"/>
        </w:rPr>
      </w:pPr>
      <w:r w:rsidRPr="002B5025">
        <w:rPr>
          <w:rFonts w:ascii="Verdana" w:hAnsi="Verdana"/>
          <w:sz w:val="20"/>
          <w:szCs w:val="20"/>
        </w:rPr>
        <w:t xml:space="preserve">For more information about RAK Ceramics’ sustainability initiatives and to access the full 2024 ESG Report, please visit </w:t>
      </w:r>
      <w:hyperlink r:id="rId5" w:history="1">
        <w:r w:rsidR="0016298C" w:rsidRPr="002B5025">
          <w:rPr>
            <w:rStyle w:val="Hyperlink"/>
            <w:rFonts w:ascii="Verdana" w:hAnsi="Verdana"/>
          </w:rPr>
          <w:t>ESG Overview - RAK Ceramics RAK Ceramics</w:t>
        </w:r>
      </w:hyperlink>
      <w:r w:rsidR="0016298C" w:rsidRPr="002B5025">
        <w:rPr>
          <w:rFonts w:ascii="Verdana" w:hAnsi="Verdana"/>
        </w:rPr>
        <w:t xml:space="preserve"> </w:t>
      </w:r>
    </w:p>
    <w:p w:rsidR="0081251F" w:rsidRPr="002B5025" w:rsidRDefault="0081251F" w:rsidP="0081251F">
      <w:pPr>
        <w:jc w:val="both"/>
        <w:rPr>
          <w:rStyle w:val="eop"/>
          <w:rFonts w:ascii="Verdana" w:hAnsi="Verdana" w:cs="Calibri"/>
          <w:color w:val="000000"/>
          <w:sz w:val="20"/>
          <w:szCs w:val="20"/>
        </w:rPr>
      </w:pPr>
    </w:p>
    <w:p w:rsidR="0081251F" w:rsidRPr="002B5025" w:rsidRDefault="0081251F" w:rsidP="0081251F">
      <w:pPr>
        <w:rPr>
          <w:rFonts w:ascii="Verdana" w:hAnsi="Verdana"/>
          <w:iCs/>
          <w:sz w:val="20"/>
          <w:szCs w:val="20"/>
          <w:lang w:val="en-AE"/>
        </w:rPr>
      </w:pPr>
      <w:r w:rsidRPr="002B5025">
        <w:rPr>
          <w:rFonts w:ascii="Verdana" w:hAnsi="Verdana"/>
          <w:b/>
          <w:color w:val="000000" w:themeColor="text1"/>
          <w:sz w:val="20"/>
          <w:szCs w:val="20"/>
          <w:lang w:eastAsia="en-GB"/>
        </w:rPr>
        <w:t>NOTE TO EDITORS</w:t>
      </w:r>
    </w:p>
    <w:p w:rsidR="0081251F" w:rsidRPr="002B5025" w:rsidRDefault="0081251F" w:rsidP="0081251F">
      <w:pPr>
        <w:jc w:val="center"/>
        <w:rPr>
          <w:rFonts w:ascii="Verdana" w:hAnsi="Verdana"/>
          <w:iCs/>
          <w:sz w:val="20"/>
          <w:szCs w:val="20"/>
          <w:lang w:val="en-AE"/>
        </w:rPr>
      </w:pPr>
    </w:p>
    <w:p w:rsidR="0081251F" w:rsidRPr="002B5025" w:rsidRDefault="0081251F" w:rsidP="0081251F">
      <w:pPr>
        <w:rPr>
          <w:rFonts w:ascii="Verdana" w:hAnsi="Verdana"/>
          <w:iCs/>
          <w:sz w:val="20"/>
          <w:szCs w:val="20"/>
          <w:lang w:val="en-AE"/>
        </w:rPr>
      </w:pPr>
      <w:r w:rsidRPr="002B5025">
        <w:rPr>
          <w:rFonts w:ascii="Verdana" w:hAnsi="Verdana"/>
          <w:b/>
          <w:sz w:val="20"/>
          <w:szCs w:val="20"/>
          <w:lang w:eastAsia="en-GB"/>
        </w:rPr>
        <w:t>About RAK Ceramics</w:t>
      </w:r>
      <w:bookmarkStart w:id="1" w:name="_e7sw13mdpuyl"/>
      <w:bookmarkEnd w:id="1"/>
    </w:p>
    <w:p w:rsidR="0081251F" w:rsidRPr="002B5025" w:rsidRDefault="0081251F" w:rsidP="0081251F">
      <w:pPr>
        <w:jc w:val="both"/>
        <w:rPr>
          <w:rFonts w:ascii="Verdana" w:hAnsi="Verdana"/>
          <w:sz w:val="20"/>
          <w:szCs w:val="20"/>
        </w:rPr>
      </w:pPr>
      <w:r w:rsidRPr="002B5025">
        <w:rPr>
          <w:rFonts w:ascii="Verdana" w:hAnsi="Verdana"/>
          <w:sz w:val="20"/>
          <w:szCs w:val="20"/>
        </w:rPr>
        <w:t>RAK Ceramics is one of the largest ceramics’ brands in the world. Specialising in ceramic and gres porcelain wall and floor tiles, tableware, sanitary ware and faucets, the Company has the capacity to produce 118 million square metres of tiles, 5.7 million pieces of sanitary ware, 36 million pieces of porcelain tableware and 2.6 million pieces of faucets per year at its 23 state-of-the-art plants across the United Arab Emirates, India, Bangladesh and Europe.</w:t>
      </w:r>
    </w:p>
    <w:p w:rsidR="0081251F" w:rsidRPr="002B5025" w:rsidRDefault="0081251F" w:rsidP="0081251F">
      <w:pPr>
        <w:jc w:val="both"/>
        <w:rPr>
          <w:rFonts w:ascii="Verdana" w:hAnsi="Verdana"/>
          <w:iCs/>
          <w:sz w:val="20"/>
          <w:szCs w:val="20"/>
          <w:lang w:val="en-AE"/>
        </w:rPr>
      </w:pPr>
    </w:p>
    <w:p w:rsidR="0081251F" w:rsidRPr="002B5025" w:rsidRDefault="0081251F" w:rsidP="0081251F">
      <w:pPr>
        <w:jc w:val="both"/>
        <w:rPr>
          <w:rFonts w:ascii="Verdana" w:hAnsi="Verdana"/>
          <w:iCs/>
          <w:sz w:val="20"/>
          <w:szCs w:val="20"/>
          <w:lang w:val="en-AE"/>
        </w:rPr>
      </w:pPr>
      <w:r w:rsidRPr="002B5025">
        <w:rPr>
          <w:rFonts w:ascii="Verdana" w:hAnsi="Verdana"/>
          <w:sz w:val="20"/>
          <w:szCs w:val="20"/>
        </w:rPr>
        <w:t>Founded in 1989 and headquartered in the United Arab Emirates, RAK Ceramics serves clients in more than 150 countries through its network of operational hubs in Europe, Middle East and North Africa, Asia, North and South America and Australia.</w:t>
      </w:r>
    </w:p>
    <w:p w:rsidR="0081251F" w:rsidRPr="002B5025" w:rsidRDefault="0081251F" w:rsidP="0081251F">
      <w:pPr>
        <w:jc w:val="both"/>
        <w:rPr>
          <w:rFonts w:ascii="Verdana" w:hAnsi="Verdana"/>
          <w:sz w:val="20"/>
          <w:szCs w:val="20"/>
        </w:rPr>
      </w:pPr>
      <w:r w:rsidRPr="002B5025">
        <w:rPr>
          <w:rFonts w:ascii="Verdana" w:hAnsi="Verdana"/>
          <w:sz w:val="20"/>
          <w:szCs w:val="20"/>
        </w:rPr>
        <w:t>RAK Ceramics is a publicly listed company on the Abu Dhabi Securities Exchange in the United Arab Emirates and as a group has an annual turnover of approximately US$1 billion.</w:t>
      </w:r>
    </w:p>
    <w:p w:rsidR="0081251F" w:rsidRPr="002B5025" w:rsidRDefault="0081251F" w:rsidP="0081251F">
      <w:pPr>
        <w:rPr>
          <w:rFonts w:ascii="Verdana" w:hAnsi="Verdana"/>
          <w:iCs/>
          <w:sz w:val="20"/>
          <w:szCs w:val="20"/>
          <w:lang w:val="en-AE"/>
        </w:rPr>
      </w:pPr>
      <w:r w:rsidRPr="002B5025">
        <w:rPr>
          <w:rFonts w:ascii="Verdana" w:hAnsi="Verdana"/>
          <w:b/>
          <w:sz w:val="20"/>
          <w:szCs w:val="20"/>
          <w:lang w:eastAsia="en-GB"/>
        </w:rPr>
        <w:t>For more information, please contact:</w:t>
      </w:r>
      <w:r w:rsidRPr="002B5025">
        <w:rPr>
          <w:rFonts w:ascii="Verdana" w:hAnsi="Verdana"/>
          <w:sz w:val="20"/>
          <w:szCs w:val="20"/>
          <w:lang w:eastAsia="en-GB"/>
        </w:rPr>
        <w:tab/>
      </w:r>
    </w:p>
    <w:p w:rsidR="0081251F" w:rsidRPr="002B5025" w:rsidRDefault="0081251F" w:rsidP="0081251F">
      <w:pPr>
        <w:rPr>
          <w:rFonts w:ascii="Verdana" w:hAnsi="Verdana"/>
          <w:iCs/>
          <w:sz w:val="20"/>
          <w:szCs w:val="20"/>
          <w:lang w:val="en-AE"/>
        </w:rPr>
      </w:pPr>
    </w:p>
    <w:p w:rsidR="0081251F" w:rsidRPr="002B5025" w:rsidRDefault="0081251F" w:rsidP="0081251F">
      <w:pPr>
        <w:rPr>
          <w:rFonts w:ascii="Verdana" w:hAnsi="Verdana"/>
          <w:iCs/>
          <w:sz w:val="20"/>
          <w:szCs w:val="20"/>
          <w:lang w:val="en-AE"/>
        </w:rPr>
      </w:pPr>
      <w:r w:rsidRPr="002B5025">
        <w:rPr>
          <w:rFonts w:ascii="Verdana" w:hAnsi="Verdana"/>
          <w:sz w:val="20"/>
          <w:szCs w:val="20"/>
        </w:rPr>
        <w:t>RAK Ceramics                                      </w:t>
      </w:r>
      <w:r w:rsidRPr="002B5025">
        <w:rPr>
          <w:rFonts w:ascii="Verdana" w:hAnsi="Verdana"/>
          <w:sz w:val="20"/>
          <w:szCs w:val="20"/>
        </w:rPr>
        <w:br/>
        <w:t>Marco Borghi                                       </w:t>
      </w:r>
      <w:r w:rsidRPr="002B5025">
        <w:rPr>
          <w:rFonts w:ascii="Verdana" w:hAnsi="Verdana"/>
          <w:sz w:val="20"/>
          <w:szCs w:val="20"/>
        </w:rPr>
        <w:br/>
        <w:t>Tel: +971 (0) 7246 7400</w:t>
      </w:r>
      <w:r w:rsidRPr="002B5025">
        <w:rPr>
          <w:rFonts w:ascii="Verdana" w:hAnsi="Verdana"/>
          <w:i/>
          <w:iCs/>
          <w:sz w:val="20"/>
          <w:szCs w:val="20"/>
        </w:rPr>
        <w:t>                       </w:t>
      </w:r>
      <w:r w:rsidRPr="002B5025">
        <w:rPr>
          <w:rFonts w:ascii="Verdana" w:hAnsi="Verdana"/>
          <w:i/>
          <w:iCs/>
          <w:sz w:val="20"/>
          <w:szCs w:val="20"/>
        </w:rPr>
        <w:br/>
      </w:r>
      <w:hyperlink r:id="rId6" w:history="1">
        <w:r w:rsidRPr="002B5025">
          <w:rPr>
            <w:rStyle w:val="Hyperlink"/>
            <w:rFonts w:ascii="Verdana" w:hAnsi="Verdana"/>
            <w:sz w:val="20"/>
            <w:szCs w:val="20"/>
          </w:rPr>
          <w:t>marco.borghi@rakceramics.com</w:t>
        </w:r>
      </w:hyperlink>
      <w:r w:rsidRPr="002B5025">
        <w:rPr>
          <w:rFonts w:ascii="Verdana" w:hAnsi="Verdana"/>
          <w:i/>
          <w:iCs/>
          <w:sz w:val="20"/>
          <w:szCs w:val="20"/>
        </w:rPr>
        <w:t>             </w:t>
      </w:r>
    </w:p>
    <w:p w:rsidR="0081251F" w:rsidRPr="002B5025" w:rsidRDefault="0081251F" w:rsidP="001238BA">
      <w:pPr>
        <w:pStyle w:val="NormalWeb"/>
        <w:rPr>
          <w:rFonts w:ascii="Verdana" w:hAnsi="Verdana"/>
          <w:sz w:val="20"/>
          <w:szCs w:val="20"/>
        </w:rPr>
      </w:pPr>
    </w:p>
    <w:p w:rsidR="003C2E9E" w:rsidRPr="002B5025" w:rsidRDefault="00DB71D0" w:rsidP="001238BA">
      <w:pPr>
        <w:pStyle w:val="NormalWeb"/>
        <w:rPr>
          <w:rFonts w:ascii="Verdana" w:hAnsi="Verdana"/>
          <w:sz w:val="20"/>
          <w:szCs w:val="20"/>
        </w:rPr>
      </w:pPr>
    </w:p>
    <w:sectPr w:rsidR="003C2E9E" w:rsidRPr="002B5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8BA"/>
    <w:rsid w:val="000F6D81"/>
    <w:rsid w:val="001238BA"/>
    <w:rsid w:val="0016298C"/>
    <w:rsid w:val="002A56A8"/>
    <w:rsid w:val="002B5025"/>
    <w:rsid w:val="003E10E9"/>
    <w:rsid w:val="006F3F34"/>
    <w:rsid w:val="0081251F"/>
    <w:rsid w:val="009145BA"/>
    <w:rsid w:val="00DB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AC38"/>
  <w15:chartTrackingRefBased/>
  <w15:docId w15:val="{7DDAA0B7-4189-4839-92DD-9E594504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238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38BA"/>
    <w:rPr>
      <w:rFonts w:ascii="Times New Roman" w:eastAsia="Times New Roman" w:hAnsi="Times New Roman" w:cs="Times New Roman"/>
      <w:b/>
      <w:bCs/>
      <w:sz w:val="27"/>
      <w:szCs w:val="27"/>
    </w:rPr>
  </w:style>
  <w:style w:type="paragraph" w:styleId="NormalWeb">
    <w:name w:val="Normal (Web)"/>
    <w:basedOn w:val="Normal"/>
    <w:uiPriority w:val="99"/>
    <w:unhideWhenUsed/>
    <w:rsid w:val="001238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38BA"/>
    <w:rPr>
      <w:b/>
      <w:bCs/>
    </w:rPr>
  </w:style>
  <w:style w:type="character" w:customStyle="1" w:styleId="eop">
    <w:name w:val="eop"/>
    <w:basedOn w:val="DefaultParagraphFont"/>
    <w:rsid w:val="0081251F"/>
  </w:style>
  <w:style w:type="character" w:styleId="Hyperlink">
    <w:name w:val="Hyperlink"/>
    <w:uiPriority w:val="99"/>
    <w:unhideWhenUsed/>
    <w:rsid w:val="0081251F"/>
    <w:rPr>
      <w:color w:val="0563C1"/>
      <w:u w:val="single"/>
    </w:rPr>
  </w:style>
  <w:style w:type="paragraph" w:customStyle="1" w:styleId="paragraph">
    <w:name w:val="paragraph"/>
    <w:basedOn w:val="Normal"/>
    <w:rsid w:val="009145BA"/>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9145BA"/>
  </w:style>
  <w:style w:type="paragraph" w:styleId="BalloonText">
    <w:name w:val="Balloon Text"/>
    <w:basedOn w:val="Normal"/>
    <w:link w:val="BalloonTextChar"/>
    <w:uiPriority w:val="99"/>
    <w:semiHidden/>
    <w:unhideWhenUsed/>
    <w:rsid w:val="002B5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0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309659">
      <w:bodyDiv w:val="1"/>
      <w:marLeft w:val="0"/>
      <w:marRight w:val="0"/>
      <w:marTop w:val="0"/>
      <w:marBottom w:val="0"/>
      <w:divBdr>
        <w:top w:val="none" w:sz="0" w:space="0" w:color="auto"/>
        <w:left w:val="none" w:sz="0" w:space="0" w:color="auto"/>
        <w:bottom w:val="none" w:sz="0" w:space="0" w:color="auto"/>
        <w:right w:val="none" w:sz="0" w:space="0" w:color="auto"/>
      </w:divBdr>
    </w:div>
    <w:div w:id="1125002263">
      <w:bodyDiv w:val="1"/>
      <w:marLeft w:val="0"/>
      <w:marRight w:val="0"/>
      <w:marTop w:val="0"/>
      <w:marBottom w:val="0"/>
      <w:divBdr>
        <w:top w:val="none" w:sz="0" w:space="0" w:color="auto"/>
        <w:left w:val="none" w:sz="0" w:space="0" w:color="auto"/>
        <w:bottom w:val="none" w:sz="0" w:space="0" w:color="auto"/>
        <w:right w:val="none" w:sz="0" w:space="0" w:color="auto"/>
      </w:divBdr>
    </w:div>
    <w:div w:id="16654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teven.allen@rakceramics.com" TargetMode="External"/><Relationship Id="rId5" Type="http://schemas.openxmlformats.org/officeDocument/2006/relationships/hyperlink" Target="https://corporate.rakceramics.com/esg-overview/"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709</Words>
  <Characters>4045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Sufiya Sheikh</dc:creator>
  <cp:keywords/>
  <dc:description/>
  <cp:lastModifiedBy>Sufiya Sheikh</cp:lastModifiedBy>
  <cp:revision>2</cp:revision>
  <cp:lastPrinted>2025-03-20T10:05:00Z</cp:lastPrinted>
  <dcterms:created xsi:type="dcterms:W3CDTF">2025-03-20T08:22:00Z</dcterms:created>
  <dcterms:modified xsi:type="dcterms:W3CDTF">2025-03-26T05:46:00Z</dcterms:modified>
</cp:coreProperties>
</file>